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417" w:type="dxa"/>
        <w:tblLayout w:type="fixed"/>
        <w:tblLook w:val="04A0" w:firstRow="1" w:lastRow="0" w:firstColumn="1" w:lastColumn="0" w:noHBand="0" w:noVBand="1"/>
      </w:tblPr>
      <w:tblGrid>
        <w:gridCol w:w="1668"/>
        <w:gridCol w:w="1842"/>
        <w:gridCol w:w="1843"/>
        <w:gridCol w:w="1843"/>
        <w:gridCol w:w="1843"/>
        <w:gridCol w:w="2126"/>
        <w:gridCol w:w="2268"/>
        <w:gridCol w:w="1984"/>
      </w:tblGrid>
      <w:tr w:rsidR="00A85BAC" w:rsidTr="00196D32">
        <w:tc>
          <w:tcPr>
            <w:tcW w:w="15417" w:type="dxa"/>
            <w:gridSpan w:val="8"/>
            <w:shd w:val="clear" w:color="auto" w:fill="E7E6E6" w:themeFill="background2"/>
          </w:tcPr>
          <w:p w:rsidR="00A85BAC" w:rsidRPr="00A85BAC" w:rsidRDefault="00A85BAC" w:rsidP="00A85BAC">
            <w:pPr>
              <w:jc w:val="center"/>
              <w:rPr>
                <w:b/>
                <w:sz w:val="48"/>
              </w:rPr>
            </w:pPr>
            <w:r w:rsidRPr="00A85BAC">
              <w:rPr>
                <w:b/>
                <w:sz w:val="36"/>
              </w:rPr>
              <w:t>Third party copyright items in my thesis</w:t>
            </w:r>
          </w:p>
          <w:p w:rsidR="00A85BAC" w:rsidRDefault="00A85BAC"/>
        </w:tc>
      </w:tr>
      <w:tr w:rsidR="00243B85" w:rsidTr="00196D32">
        <w:tc>
          <w:tcPr>
            <w:tcW w:w="1668" w:type="dxa"/>
            <w:shd w:val="clear" w:color="auto" w:fill="E7E6E6" w:themeFill="background2"/>
          </w:tcPr>
          <w:p w:rsidR="009C34CB" w:rsidRDefault="009C34CB" w:rsidP="009C34CB">
            <w:pPr>
              <w:jc w:val="center"/>
              <w:rPr>
                <w:b/>
              </w:rPr>
            </w:pPr>
            <w:r w:rsidRPr="009C34CB">
              <w:rPr>
                <w:b/>
              </w:rPr>
              <w:t>Copyright item</w:t>
            </w:r>
            <w:r>
              <w:rPr>
                <w:b/>
              </w:rPr>
              <w:t xml:space="preserve">  </w:t>
            </w:r>
          </w:p>
          <w:p w:rsidR="009C34CB" w:rsidRPr="009C34CB" w:rsidRDefault="009C34CB" w:rsidP="009C34CB">
            <w:pPr>
              <w:jc w:val="center"/>
            </w:pPr>
            <w:r w:rsidRPr="009C34CB">
              <w:t xml:space="preserve">(description, source, </w:t>
            </w:r>
            <w:proofErr w:type="spellStart"/>
            <w:r w:rsidRPr="009C34CB">
              <w:t>url</w:t>
            </w:r>
            <w:proofErr w:type="spellEnd"/>
            <w:r w:rsidRPr="009C34CB">
              <w:t>)</w:t>
            </w:r>
          </w:p>
        </w:tc>
        <w:tc>
          <w:tcPr>
            <w:tcW w:w="1842" w:type="dxa"/>
            <w:shd w:val="clear" w:color="auto" w:fill="E7E6E6" w:themeFill="background2"/>
          </w:tcPr>
          <w:p w:rsidR="009C34CB" w:rsidRDefault="009C34CB" w:rsidP="009C34CB">
            <w:pPr>
              <w:rPr>
                <w:b/>
              </w:rPr>
            </w:pPr>
            <w:r>
              <w:rPr>
                <w:b/>
              </w:rPr>
              <w:t xml:space="preserve">Copyright Owner </w:t>
            </w:r>
          </w:p>
          <w:p w:rsidR="009C34CB" w:rsidRPr="009C34CB" w:rsidRDefault="009C34CB" w:rsidP="009C34CB">
            <w:r w:rsidRPr="009C34CB">
              <w:t>(name, contact details)</w:t>
            </w:r>
          </w:p>
        </w:tc>
        <w:tc>
          <w:tcPr>
            <w:tcW w:w="1843" w:type="dxa"/>
            <w:shd w:val="clear" w:color="auto" w:fill="E7E6E6" w:themeFill="background2"/>
          </w:tcPr>
          <w:p w:rsidR="009C34CB" w:rsidRDefault="009C34CB" w:rsidP="009C34CB">
            <w:pPr>
              <w:rPr>
                <w:b/>
              </w:rPr>
            </w:pPr>
            <w:r>
              <w:rPr>
                <w:b/>
              </w:rPr>
              <w:t>Substantial part</w:t>
            </w:r>
          </w:p>
          <w:p w:rsidR="009C34CB" w:rsidRPr="00243B85" w:rsidRDefault="009C34CB" w:rsidP="00243B85">
            <w:r w:rsidRPr="00243B85">
              <w:t>(Yes/No</w:t>
            </w:r>
            <w:r w:rsidR="00243B85" w:rsidRPr="00243B85">
              <w:t xml:space="preserve">, </w:t>
            </w:r>
            <w:r w:rsidR="00243B85">
              <w:t>n</w:t>
            </w:r>
            <w:r w:rsidR="00243B85" w:rsidRPr="00243B85">
              <w:t>ature</w:t>
            </w:r>
            <w:r w:rsidR="00243B85">
              <w:t xml:space="preserve"> &amp; </w:t>
            </w:r>
            <w:r w:rsidR="00243B85" w:rsidRPr="00243B85">
              <w:t>quality of p</w:t>
            </w:r>
            <w:r w:rsidR="00243B85">
              <w:t>art in relation to whole</w:t>
            </w:r>
            <w:r w:rsidR="00243B85" w:rsidRPr="00243B85">
              <w:t>)</w:t>
            </w:r>
          </w:p>
        </w:tc>
        <w:tc>
          <w:tcPr>
            <w:tcW w:w="1843" w:type="dxa"/>
            <w:shd w:val="clear" w:color="auto" w:fill="E7E6E6" w:themeFill="background2"/>
          </w:tcPr>
          <w:p w:rsidR="009C34CB" w:rsidRDefault="009C34CB" w:rsidP="009C34CB">
            <w:pPr>
              <w:jc w:val="center"/>
              <w:rPr>
                <w:b/>
              </w:rPr>
            </w:pPr>
            <w:r>
              <w:rPr>
                <w:b/>
              </w:rPr>
              <w:t>Fair dealing</w:t>
            </w:r>
          </w:p>
          <w:p w:rsidR="00243B85" w:rsidRPr="00243B85" w:rsidRDefault="00243B85" w:rsidP="00243B85">
            <w:pPr>
              <w:jc w:val="center"/>
            </w:pPr>
            <w:r>
              <w:t>(Yes/No, criticism or r</w:t>
            </w:r>
            <w:r w:rsidRPr="00243B85">
              <w:t>eview</w:t>
            </w:r>
            <w:r>
              <w:t xml:space="preserve">, parody or satire) </w:t>
            </w:r>
          </w:p>
        </w:tc>
        <w:tc>
          <w:tcPr>
            <w:tcW w:w="1843" w:type="dxa"/>
            <w:shd w:val="clear" w:color="auto" w:fill="E7E6E6" w:themeFill="background2"/>
          </w:tcPr>
          <w:p w:rsidR="009C34CB" w:rsidRDefault="009C34CB" w:rsidP="009C34CB">
            <w:pPr>
              <w:jc w:val="center"/>
              <w:rPr>
                <w:b/>
              </w:rPr>
            </w:pPr>
            <w:r>
              <w:rPr>
                <w:b/>
              </w:rPr>
              <w:t>Other exception</w:t>
            </w:r>
            <w:r w:rsidR="00243B85">
              <w:rPr>
                <w:b/>
              </w:rPr>
              <w:t xml:space="preserve"> </w:t>
            </w:r>
          </w:p>
          <w:p w:rsidR="00243B85" w:rsidRPr="00243B85" w:rsidRDefault="00243B85" w:rsidP="00243B85">
            <w:pPr>
              <w:jc w:val="center"/>
            </w:pPr>
            <w:r w:rsidRPr="00243B85">
              <w:t>(Yes/No, license, terms of use)</w:t>
            </w:r>
          </w:p>
        </w:tc>
        <w:tc>
          <w:tcPr>
            <w:tcW w:w="2126" w:type="dxa"/>
            <w:shd w:val="clear" w:color="auto" w:fill="E7E6E6" w:themeFill="background2"/>
          </w:tcPr>
          <w:p w:rsidR="009C34CB" w:rsidRPr="009C34CB" w:rsidRDefault="009C34CB" w:rsidP="00243B85">
            <w:pPr>
              <w:jc w:val="center"/>
              <w:rPr>
                <w:b/>
              </w:rPr>
            </w:pPr>
            <w:r>
              <w:rPr>
                <w:b/>
              </w:rPr>
              <w:t xml:space="preserve">Permission required and requested </w:t>
            </w:r>
            <w:r w:rsidRPr="00243B85">
              <w:t>(Yes/No</w:t>
            </w:r>
            <w:r w:rsidR="00243B85">
              <w:t>, d</w:t>
            </w:r>
            <w:r w:rsidRPr="00243B85">
              <w:t>ate)</w:t>
            </w:r>
          </w:p>
        </w:tc>
        <w:tc>
          <w:tcPr>
            <w:tcW w:w="2268" w:type="dxa"/>
            <w:shd w:val="clear" w:color="auto" w:fill="E7E6E6" w:themeFill="background2"/>
          </w:tcPr>
          <w:p w:rsidR="009C34CB" w:rsidRDefault="009C34CB" w:rsidP="009C34CB">
            <w:pPr>
              <w:jc w:val="center"/>
              <w:rPr>
                <w:b/>
              </w:rPr>
            </w:pPr>
            <w:r>
              <w:rPr>
                <w:b/>
              </w:rPr>
              <w:t>Permission obtained</w:t>
            </w:r>
          </w:p>
          <w:p w:rsidR="00243B85" w:rsidRPr="00243B85" w:rsidRDefault="00243B85" w:rsidP="009C34CB">
            <w:pPr>
              <w:jc w:val="center"/>
            </w:pPr>
            <w:r w:rsidRPr="00243B85">
              <w:t>(Yes/No, date, details)</w:t>
            </w:r>
          </w:p>
        </w:tc>
        <w:tc>
          <w:tcPr>
            <w:tcW w:w="1984" w:type="dxa"/>
            <w:shd w:val="clear" w:color="auto" w:fill="E7E6E6" w:themeFill="background2"/>
          </w:tcPr>
          <w:p w:rsidR="009C34CB" w:rsidRDefault="00243B85" w:rsidP="009C34CB">
            <w:pPr>
              <w:jc w:val="center"/>
              <w:rPr>
                <w:b/>
              </w:rPr>
            </w:pPr>
            <w:r>
              <w:rPr>
                <w:b/>
              </w:rPr>
              <w:t>Notes</w:t>
            </w:r>
          </w:p>
          <w:p w:rsidR="00243B85" w:rsidRPr="00243B85" w:rsidRDefault="00243B85" w:rsidP="009C34CB">
            <w:pPr>
              <w:jc w:val="center"/>
            </w:pPr>
            <w:r>
              <w:t>(item removed, remaining issues</w:t>
            </w:r>
            <w:r w:rsidRPr="00243B85">
              <w:t>)</w:t>
            </w:r>
          </w:p>
        </w:tc>
      </w:tr>
      <w:tr w:rsidR="00243B85" w:rsidTr="00196D32">
        <w:tc>
          <w:tcPr>
            <w:tcW w:w="1668" w:type="dxa"/>
          </w:tcPr>
          <w:p w:rsidR="009520CA" w:rsidRDefault="009520CA" w:rsidP="009520CA">
            <w:pPr>
              <w:ind w:left="-80" w:right="-32"/>
              <w:rPr>
                <w:rFonts w:cstheme="minorHAnsi"/>
                <w:color w:val="000000" w:themeColor="text1"/>
                <w:sz w:val="16"/>
                <w:szCs w:val="16"/>
              </w:rPr>
            </w:pPr>
            <w:r w:rsidRPr="009520CA">
              <w:rPr>
                <w:rFonts w:cstheme="minorHAnsi"/>
                <w:color w:val="000000" w:themeColor="text1"/>
                <w:sz w:val="16"/>
                <w:szCs w:val="16"/>
              </w:rPr>
              <w:t xml:space="preserve">Lew CCH, </w:t>
            </w:r>
            <w:proofErr w:type="spellStart"/>
            <w:r w:rsidRPr="009520CA">
              <w:rPr>
                <w:rFonts w:cstheme="minorHAnsi"/>
                <w:color w:val="000000" w:themeColor="text1"/>
                <w:sz w:val="16"/>
                <w:szCs w:val="16"/>
              </w:rPr>
              <w:t>Yandell</w:t>
            </w:r>
            <w:proofErr w:type="spellEnd"/>
            <w:r w:rsidRPr="009520CA">
              <w:rPr>
                <w:rFonts w:cstheme="minorHAnsi"/>
                <w:color w:val="000000" w:themeColor="text1"/>
                <w:sz w:val="16"/>
                <w:szCs w:val="16"/>
              </w:rPr>
              <w:t xml:space="preserve"> R, Fraser RJ, Chua AP, Chong MFF, Miller M. Association between malnutrition and clinical outcomes in the intensive care unit: A systematic review. JPEN J </w:t>
            </w:r>
            <w:proofErr w:type="spellStart"/>
            <w:r w:rsidRPr="009520CA">
              <w:rPr>
                <w:rFonts w:cstheme="minorHAnsi"/>
                <w:color w:val="000000" w:themeColor="text1"/>
                <w:sz w:val="16"/>
                <w:szCs w:val="16"/>
              </w:rPr>
              <w:t>Parenter</w:t>
            </w:r>
            <w:proofErr w:type="spellEnd"/>
            <w:r w:rsidRPr="009520CA">
              <w:rPr>
                <w:rFonts w:cstheme="minorHAnsi"/>
                <w:color w:val="000000" w:themeColor="text1"/>
                <w:sz w:val="16"/>
                <w:szCs w:val="16"/>
              </w:rPr>
              <w:t xml:space="preserve"> Enteral </w:t>
            </w:r>
            <w:proofErr w:type="spellStart"/>
            <w:r w:rsidRPr="009520CA">
              <w:rPr>
                <w:rFonts w:cstheme="minorHAnsi"/>
                <w:color w:val="000000" w:themeColor="text1"/>
                <w:sz w:val="16"/>
                <w:szCs w:val="16"/>
              </w:rPr>
              <w:t>Nutr</w:t>
            </w:r>
            <w:proofErr w:type="spellEnd"/>
            <w:r w:rsidRPr="009520CA">
              <w:rPr>
                <w:rFonts w:cstheme="minorHAnsi"/>
                <w:color w:val="000000" w:themeColor="text1"/>
                <w:sz w:val="16"/>
                <w:szCs w:val="16"/>
              </w:rPr>
              <w:t>. 2017;41(5):744-58</w:t>
            </w:r>
            <w:r>
              <w:rPr>
                <w:rFonts w:cstheme="minorHAnsi"/>
                <w:color w:val="000000" w:themeColor="text1"/>
                <w:sz w:val="16"/>
                <w:szCs w:val="16"/>
              </w:rPr>
              <w:t xml:space="preserve">, </w:t>
            </w:r>
            <w:hyperlink r:id="rId5" w:history="1">
              <w:r w:rsidRPr="00F4535C">
                <w:rPr>
                  <w:rStyle w:val="Hyperlink"/>
                  <w:rFonts w:cstheme="minorHAnsi"/>
                  <w:sz w:val="16"/>
                  <w:szCs w:val="16"/>
                </w:rPr>
                <w:t>https://onlinelibrary.wiley.com/doi/abs/10.1177/0148607115625638</w:t>
              </w:r>
            </w:hyperlink>
          </w:p>
          <w:p w:rsidR="009520CA" w:rsidRPr="009520CA" w:rsidRDefault="009520CA" w:rsidP="009520CA">
            <w:pPr>
              <w:ind w:right="-32"/>
              <w:rPr>
                <w:rFonts w:cstheme="minorHAnsi"/>
                <w:color w:val="000000" w:themeColor="text1"/>
                <w:sz w:val="16"/>
                <w:szCs w:val="16"/>
              </w:rPr>
            </w:pPr>
          </w:p>
        </w:tc>
        <w:tc>
          <w:tcPr>
            <w:tcW w:w="1842" w:type="dxa"/>
          </w:tcPr>
          <w:p w:rsidR="009C34CB" w:rsidRPr="00196D32" w:rsidRDefault="00EC7A4F">
            <w:pPr>
              <w:rPr>
                <w:sz w:val="16"/>
                <w:szCs w:val="16"/>
              </w:rPr>
            </w:pPr>
            <w:r w:rsidRPr="00196D32">
              <w:rPr>
                <w:sz w:val="16"/>
                <w:szCs w:val="16"/>
              </w:rPr>
              <w:t>Wiley Online Library, https://s100.copyright.com/AppDispatchServlet#formTop</w:t>
            </w:r>
          </w:p>
        </w:tc>
        <w:tc>
          <w:tcPr>
            <w:tcW w:w="1843" w:type="dxa"/>
          </w:tcPr>
          <w:p w:rsidR="009C34CB" w:rsidRPr="00196D32" w:rsidRDefault="00EC7A4F">
            <w:pPr>
              <w:rPr>
                <w:sz w:val="16"/>
                <w:szCs w:val="16"/>
              </w:rPr>
            </w:pPr>
            <w:r w:rsidRPr="00196D32">
              <w:rPr>
                <w:sz w:val="16"/>
                <w:szCs w:val="16"/>
              </w:rPr>
              <w:t>Yes, the entire manuscript (with some additions and edits) is included in the thesis</w:t>
            </w:r>
          </w:p>
        </w:tc>
        <w:tc>
          <w:tcPr>
            <w:tcW w:w="1843" w:type="dxa"/>
          </w:tcPr>
          <w:p w:rsidR="009C34CB" w:rsidRPr="00196D32" w:rsidRDefault="00EC7A4F">
            <w:pPr>
              <w:rPr>
                <w:sz w:val="16"/>
                <w:szCs w:val="16"/>
              </w:rPr>
            </w:pPr>
            <w:r w:rsidRPr="00196D32">
              <w:rPr>
                <w:sz w:val="16"/>
                <w:szCs w:val="16"/>
              </w:rPr>
              <w:t>No</w:t>
            </w:r>
          </w:p>
        </w:tc>
        <w:tc>
          <w:tcPr>
            <w:tcW w:w="1843" w:type="dxa"/>
          </w:tcPr>
          <w:p w:rsidR="009C34CB" w:rsidRPr="00196D32" w:rsidRDefault="00EC7A4F">
            <w:pPr>
              <w:rPr>
                <w:sz w:val="16"/>
                <w:szCs w:val="16"/>
              </w:rPr>
            </w:pPr>
            <w:r w:rsidRPr="00196D32">
              <w:rPr>
                <w:sz w:val="16"/>
                <w:szCs w:val="16"/>
              </w:rPr>
              <w:t>No</w:t>
            </w:r>
          </w:p>
        </w:tc>
        <w:tc>
          <w:tcPr>
            <w:tcW w:w="2126" w:type="dxa"/>
          </w:tcPr>
          <w:p w:rsidR="009C34CB" w:rsidRPr="00196D32" w:rsidRDefault="00196D32">
            <w:pPr>
              <w:rPr>
                <w:sz w:val="16"/>
                <w:szCs w:val="16"/>
              </w:rPr>
            </w:pPr>
            <w:r w:rsidRPr="00196D32">
              <w:rPr>
                <w:sz w:val="16"/>
                <w:szCs w:val="16"/>
              </w:rPr>
              <w:t>Yes, 15</w:t>
            </w:r>
            <w:r w:rsidRPr="00196D32">
              <w:rPr>
                <w:sz w:val="16"/>
                <w:szCs w:val="16"/>
                <w:vertAlign w:val="superscript"/>
              </w:rPr>
              <w:t>th</w:t>
            </w:r>
            <w:r w:rsidRPr="00196D32">
              <w:rPr>
                <w:sz w:val="16"/>
                <w:szCs w:val="16"/>
              </w:rPr>
              <w:t xml:space="preserve"> July 2019</w:t>
            </w:r>
          </w:p>
        </w:tc>
        <w:tc>
          <w:tcPr>
            <w:tcW w:w="2268" w:type="dxa"/>
          </w:tcPr>
          <w:p w:rsidR="009C34CB" w:rsidRPr="00196D32" w:rsidRDefault="00196D32">
            <w:pPr>
              <w:rPr>
                <w:sz w:val="16"/>
                <w:szCs w:val="16"/>
              </w:rPr>
            </w:pPr>
            <w:r w:rsidRPr="00196D32">
              <w:rPr>
                <w:sz w:val="16"/>
                <w:szCs w:val="16"/>
              </w:rPr>
              <w:t>Yes,, 15</w:t>
            </w:r>
            <w:r w:rsidRPr="00196D32">
              <w:rPr>
                <w:sz w:val="16"/>
                <w:szCs w:val="16"/>
                <w:vertAlign w:val="superscript"/>
              </w:rPr>
              <w:t>th</w:t>
            </w:r>
            <w:r w:rsidRPr="00196D32">
              <w:rPr>
                <w:sz w:val="16"/>
                <w:szCs w:val="16"/>
              </w:rPr>
              <w:t xml:space="preserve"> July 2019</w:t>
            </w:r>
            <w:r>
              <w:rPr>
                <w:sz w:val="16"/>
                <w:szCs w:val="16"/>
              </w:rPr>
              <w:t xml:space="preserve">, Licence number: </w:t>
            </w:r>
            <w:r w:rsidRPr="00196D32">
              <w:rPr>
                <w:sz w:val="16"/>
                <w:szCs w:val="16"/>
              </w:rPr>
              <w:t>4630140898727</w:t>
            </w:r>
          </w:p>
        </w:tc>
        <w:tc>
          <w:tcPr>
            <w:tcW w:w="1984" w:type="dxa"/>
          </w:tcPr>
          <w:p w:rsidR="009C34CB" w:rsidRPr="00196D32" w:rsidRDefault="00196D32">
            <w:pPr>
              <w:rPr>
                <w:sz w:val="16"/>
                <w:szCs w:val="16"/>
              </w:rPr>
            </w:pPr>
            <w:r w:rsidRPr="00196D32">
              <w:rPr>
                <w:sz w:val="16"/>
                <w:szCs w:val="16"/>
              </w:rPr>
              <w:t>Nil</w:t>
            </w:r>
          </w:p>
        </w:tc>
      </w:tr>
      <w:tr w:rsidR="00D618F1" w:rsidTr="00196D32">
        <w:tc>
          <w:tcPr>
            <w:tcW w:w="1668" w:type="dxa"/>
          </w:tcPr>
          <w:p w:rsidR="00D618F1" w:rsidRDefault="00D618F1" w:rsidP="00D618F1">
            <w:pPr>
              <w:ind w:left="-80" w:right="-32"/>
              <w:rPr>
                <w:rFonts w:cstheme="minorHAnsi"/>
                <w:color w:val="000000" w:themeColor="text1"/>
                <w:sz w:val="16"/>
                <w:szCs w:val="16"/>
              </w:rPr>
            </w:pPr>
            <w:r w:rsidRPr="009520CA">
              <w:rPr>
                <w:rFonts w:cstheme="minorHAnsi"/>
                <w:color w:val="000000" w:themeColor="text1"/>
                <w:sz w:val="16"/>
                <w:szCs w:val="16"/>
              </w:rPr>
              <w:t xml:space="preserve">Lew CCH, Ong F, </w:t>
            </w:r>
            <w:proofErr w:type="gramStart"/>
            <w:r w:rsidRPr="009520CA">
              <w:rPr>
                <w:rFonts w:cstheme="minorHAnsi"/>
                <w:color w:val="000000" w:themeColor="text1"/>
                <w:sz w:val="16"/>
                <w:szCs w:val="16"/>
              </w:rPr>
              <w:t>Miller</w:t>
            </w:r>
            <w:proofErr w:type="gramEnd"/>
            <w:r w:rsidRPr="009520CA">
              <w:rPr>
                <w:rFonts w:cstheme="minorHAnsi"/>
                <w:color w:val="000000" w:themeColor="text1"/>
                <w:sz w:val="16"/>
                <w:szCs w:val="16"/>
              </w:rPr>
              <w:t xml:space="preserve"> M. Validity of the adductor pollicis muscle as a component of nutritional screening in the hospital setting: a systematic review. </w:t>
            </w:r>
            <w:proofErr w:type="spellStart"/>
            <w:r w:rsidRPr="009520CA">
              <w:rPr>
                <w:rFonts w:cstheme="minorHAnsi"/>
                <w:color w:val="000000" w:themeColor="text1"/>
                <w:sz w:val="16"/>
                <w:szCs w:val="16"/>
              </w:rPr>
              <w:t>Clin</w:t>
            </w:r>
            <w:proofErr w:type="spellEnd"/>
            <w:r w:rsidRPr="009520CA">
              <w:rPr>
                <w:rFonts w:cstheme="minorHAnsi"/>
                <w:color w:val="000000" w:themeColor="text1"/>
                <w:sz w:val="16"/>
                <w:szCs w:val="16"/>
              </w:rPr>
              <w:t xml:space="preserve"> </w:t>
            </w:r>
            <w:proofErr w:type="spellStart"/>
            <w:r w:rsidRPr="009520CA">
              <w:rPr>
                <w:rFonts w:cstheme="minorHAnsi"/>
                <w:color w:val="000000" w:themeColor="text1"/>
                <w:sz w:val="16"/>
                <w:szCs w:val="16"/>
              </w:rPr>
              <w:t>Nutr</w:t>
            </w:r>
            <w:proofErr w:type="spellEnd"/>
            <w:r w:rsidRPr="009520CA">
              <w:rPr>
                <w:rFonts w:cstheme="minorHAnsi"/>
                <w:color w:val="000000" w:themeColor="text1"/>
                <w:sz w:val="16"/>
                <w:szCs w:val="16"/>
              </w:rPr>
              <w:t xml:space="preserve"> ESPEN. 2016;16:1-7</w:t>
            </w:r>
            <w:r>
              <w:rPr>
                <w:rFonts w:cstheme="minorHAnsi"/>
                <w:color w:val="000000" w:themeColor="text1"/>
                <w:sz w:val="16"/>
                <w:szCs w:val="16"/>
              </w:rPr>
              <w:t xml:space="preserve">, </w:t>
            </w:r>
            <w:hyperlink r:id="rId6" w:history="1">
              <w:r w:rsidRPr="00F4535C">
                <w:rPr>
                  <w:rStyle w:val="Hyperlink"/>
                  <w:rFonts w:cstheme="minorHAnsi"/>
                  <w:sz w:val="16"/>
                  <w:szCs w:val="16"/>
                </w:rPr>
                <w:t>https://www.sciencedirect.com/science/article/abs/pii/S2405457716302649</w:t>
              </w:r>
            </w:hyperlink>
          </w:p>
          <w:p w:rsidR="00D618F1" w:rsidRPr="009520CA" w:rsidRDefault="00D618F1" w:rsidP="00D618F1">
            <w:pPr>
              <w:ind w:left="-80" w:right="-32"/>
              <w:rPr>
                <w:rFonts w:cstheme="minorHAnsi"/>
                <w:color w:val="000000" w:themeColor="text1"/>
                <w:sz w:val="16"/>
                <w:szCs w:val="16"/>
              </w:rPr>
            </w:pPr>
          </w:p>
        </w:tc>
        <w:tc>
          <w:tcPr>
            <w:tcW w:w="1842" w:type="dxa"/>
          </w:tcPr>
          <w:p w:rsidR="00D618F1" w:rsidRPr="00196D32" w:rsidRDefault="00D618F1" w:rsidP="00D618F1">
            <w:pPr>
              <w:rPr>
                <w:sz w:val="16"/>
                <w:szCs w:val="16"/>
              </w:rPr>
            </w:pPr>
            <w:r w:rsidRPr="00D618F1">
              <w:rPr>
                <w:sz w:val="16"/>
                <w:szCs w:val="16"/>
              </w:rPr>
              <w:t>Elsevier</w:t>
            </w:r>
          </w:p>
        </w:tc>
        <w:tc>
          <w:tcPr>
            <w:tcW w:w="1843" w:type="dxa"/>
          </w:tcPr>
          <w:p w:rsidR="00D618F1" w:rsidRPr="00196D32" w:rsidRDefault="00D618F1" w:rsidP="00D618F1">
            <w:pPr>
              <w:rPr>
                <w:sz w:val="16"/>
                <w:szCs w:val="16"/>
              </w:rPr>
            </w:pPr>
            <w:r w:rsidRPr="00196D32">
              <w:rPr>
                <w:sz w:val="16"/>
                <w:szCs w:val="16"/>
              </w:rPr>
              <w:t>Yes, the entire manuscript (with some additions and edits) is included in the thesis</w:t>
            </w:r>
          </w:p>
        </w:tc>
        <w:tc>
          <w:tcPr>
            <w:tcW w:w="1843" w:type="dxa"/>
          </w:tcPr>
          <w:p w:rsidR="00D618F1" w:rsidRPr="00196D32" w:rsidRDefault="00D618F1" w:rsidP="00D618F1">
            <w:pPr>
              <w:rPr>
                <w:sz w:val="16"/>
                <w:szCs w:val="16"/>
              </w:rPr>
            </w:pPr>
            <w:r w:rsidRPr="00196D32">
              <w:rPr>
                <w:sz w:val="16"/>
                <w:szCs w:val="16"/>
              </w:rPr>
              <w:t>No</w:t>
            </w:r>
          </w:p>
        </w:tc>
        <w:tc>
          <w:tcPr>
            <w:tcW w:w="1843" w:type="dxa"/>
          </w:tcPr>
          <w:p w:rsidR="00D618F1" w:rsidRPr="00196D32" w:rsidRDefault="00D618F1" w:rsidP="00D618F1">
            <w:pPr>
              <w:rPr>
                <w:sz w:val="16"/>
                <w:szCs w:val="16"/>
              </w:rPr>
            </w:pPr>
            <w:r w:rsidRPr="00196D32">
              <w:rPr>
                <w:sz w:val="16"/>
                <w:szCs w:val="16"/>
              </w:rPr>
              <w:t>No</w:t>
            </w:r>
          </w:p>
        </w:tc>
        <w:tc>
          <w:tcPr>
            <w:tcW w:w="2126" w:type="dxa"/>
          </w:tcPr>
          <w:p w:rsidR="00D618F1" w:rsidRPr="00196D32" w:rsidRDefault="00D618F1" w:rsidP="00D618F1">
            <w:pPr>
              <w:rPr>
                <w:sz w:val="16"/>
                <w:szCs w:val="16"/>
              </w:rPr>
            </w:pPr>
            <w:r w:rsidRPr="00196D32">
              <w:rPr>
                <w:sz w:val="16"/>
                <w:szCs w:val="16"/>
              </w:rPr>
              <w:t>Yes, 15</w:t>
            </w:r>
            <w:r w:rsidRPr="00196D32">
              <w:rPr>
                <w:sz w:val="16"/>
                <w:szCs w:val="16"/>
                <w:vertAlign w:val="superscript"/>
              </w:rPr>
              <w:t>th</w:t>
            </w:r>
            <w:r w:rsidRPr="00196D32">
              <w:rPr>
                <w:sz w:val="16"/>
                <w:szCs w:val="16"/>
              </w:rPr>
              <w:t xml:space="preserve"> July 2019</w:t>
            </w:r>
          </w:p>
        </w:tc>
        <w:tc>
          <w:tcPr>
            <w:tcW w:w="2268" w:type="dxa"/>
          </w:tcPr>
          <w:p w:rsidR="00D618F1" w:rsidRPr="00196D32" w:rsidRDefault="00D618F1" w:rsidP="00D618F1">
            <w:pPr>
              <w:rPr>
                <w:sz w:val="16"/>
                <w:szCs w:val="16"/>
              </w:rPr>
            </w:pPr>
            <w:r w:rsidRPr="00196D32">
              <w:rPr>
                <w:sz w:val="16"/>
                <w:szCs w:val="16"/>
              </w:rPr>
              <w:t>Yes</w:t>
            </w:r>
            <w:proofErr w:type="gramStart"/>
            <w:r w:rsidRPr="00196D32">
              <w:rPr>
                <w:sz w:val="16"/>
                <w:szCs w:val="16"/>
              </w:rPr>
              <w:t>,,</w:t>
            </w:r>
            <w:proofErr w:type="gramEnd"/>
            <w:r w:rsidRPr="00196D32">
              <w:rPr>
                <w:sz w:val="16"/>
                <w:szCs w:val="16"/>
              </w:rPr>
              <w:t xml:space="preserve"> 15</w:t>
            </w:r>
            <w:r w:rsidRPr="00196D32">
              <w:rPr>
                <w:sz w:val="16"/>
                <w:szCs w:val="16"/>
                <w:vertAlign w:val="superscript"/>
              </w:rPr>
              <w:t>th</w:t>
            </w:r>
            <w:r w:rsidRPr="00196D32">
              <w:rPr>
                <w:sz w:val="16"/>
                <w:szCs w:val="16"/>
              </w:rPr>
              <w:t xml:space="preserve"> July 2019</w:t>
            </w:r>
            <w:r w:rsidR="00872801">
              <w:rPr>
                <w:sz w:val="16"/>
                <w:szCs w:val="16"/>
              </w:rPr>
              <w:t>, p</w:t>
            </w:r>
            <w:r>
              <w:rPr>
                <w:sz w:val="16"/>
                <w:szCs w:val="16"/>
              </w:rPr>
              <w:t xml:space="preserve">ermission was granted via Copyright Clearance </w:t>
            </w:r>
            <w:proofErr w:type="spellStart"/>
            <w:r>
              <w:rPr>
                <w:sz w:val="16"/>
                <w:szCs w:val="16"/>
              </w:rPr>
              <w:t>Center</w:t>
            </w:r>
            <w:proofErr w:type="spellEnd"/>
            <w:r>
              <w:rPr>
                <w:sz w:val="16"/>
                <w:szCs w:val="16"/>
              </w:rPr>
              <w:t xml:space="preserve"> with the following statement dated on 15</w:t>
            </w:r>
            <w:r w:rsidRPr="00D618F1">
              <w:rPr>
                <w:sz w:val="16"/>
                <w:szCs w:val="16"/>
                <w:vertAlign w:val="superscript"/>
              </w:rPr>
              <w:t>th</w:t>
            </w:r>
            <w:r>
              <w:rPr>
                <w:sz w:val="16"/>
                <w:szCs w:val="16"/>
              </w:rPr>
              <w:t xml:space="preserve"> July 2019: “</w:t>
            </w:r>
            <w:r w:rsidRPr="00D618F1">
              <w:rPr>
                <w:sz w:val="16"/>
                <w:szCs w:val="16"/>
              </w:rPr>
              <w:t>Please note that, as the author of this Elsevier article, you retain the right to include it in a thesis or dissertation, provided it is not published commercially.  Permission is not required, but please ensure that you reference the journal as the original source.  For more information on this and on your other retained rights, please visit: https://www.elsevier.com/about/our-business/policies/copyright#Author-rights</w:t>
            </w:r>
            <w:r>
              <w:rPr>
                <w:sz w:val="16"/>
                <w:szCs w:val="16"/>
              </w:rPr>
              <w:t>”</w:t>
            </w:r>
          </w:p>
        </w:tc>
        <w:tc>
          <w:tcPr>
            <w:tcW w:w="1984" w:type="dxa"/>
          </w:tcPr>
          <w:p w:rsidR="00D618F1" w:rsidRPr="00196D32" w:rsidRDefault="00D618F1" w:rsidP="00D618F1">
            <w:pPr>
              <w:rPr>
                <w:sz w:val="16"/>
                <w:szCs w:val="16"/>
              </w:rPr>
            </w:pPr>
            <w:r w:rsidRPr="00196D32">
              <w:rPr>
                <w:sz w:val="16"/>
                <w:szCs w:val="16"/>
              </w:rPr>
              <w:t>Nil</w:t>
            </w:r>
          </w:p>
        </w:tc>
      </w:tr>
      <w:tr w:rsidR="00D618F1" w:rsidTr="00196D32">
        <w:tc>
          <w:tcPr>
            <w:tcW w:w="1668" w:type="dxa"/>
          </w:tcPr>
          <w:p w:rsidR="00D618F1" w:rsidRDefault="00D618F1" w:rsidP="00D618F1">
            <w:pPr>
              <w:ind w:left="-80" w:right="-32"/>
              <w:rPr>
                <w:rFonts w:cstheme="minorHAnsi"/>
                <w:color w:val="000000" w:themeColor="text1"/>
                <w:sz w:val="16"/>
                <w:szCs w:val="16"/>
              </w:rPr>
            </w:pPr>
            <w:r w:rsidRPr="009520CA">
              <w:rPr>
                <w:rFonts w:cstheme="minorHAnsi"/>
                <w:color w:val="000000" w:themeColor="text1"/>
                <w:sz w:val="16"/>
                <w:szCs w:val="16"/>
              </w:rPr>
              <w:t xml:space="preserve">Lew CCH, Wong GJY, Cheung KP, Chua AP, Chong MFF, Miller M. Association between malnutrition and 28-day mortality and intensive care length-of-stay in the critically ill: A prospective cohort </w:t>
            </w:r>
            <w:r w:rsidRPr="009520CA">
              <w:rPr>
                <w:rFonts w:cstheme="minorHAnsi"/>
                <w:color w:val="000000" w:themeColor="text1"/>
                <w:sz w:val="16"/>
                <w:szCs w:val="16"/>
              </w:rPr>
              <w:lastRenderedPageBreak/>
              <w:t>study. Nutrients. 2017;10(1):10</w:t>
            </w:r>
            <w:r>
              <w:rPr>
                <w:rFonts w:cstheme="minorHAnsi"/>
                <w:color w:val="000000" w:themeColor="text1"/>
                <w:sz w:val="16"/>
                <w:szCs w:val="16"/>
              </w:rPr>
              <w:t xml:space="preserve">, </w:t>
            </w:r>
            <w:hyperlink r:id="rId7" w:history="1">
              <w:r w:rsidRPr="00F4535C">
                <w:rPr>
                  <w:rStyle w:val="Hyperlink"/>
                  <w:rFonts w:cstheme="minorHAnsi"/>
                  <w:sz w:val="16"/>
                  <w:szCs w:val="16"/>
                </w:rPr>
                <w:t>https://www.mdpi.com/2072-6643/10/1/10</w:t>
              </w:r>
            </w:hyperlink>
          </w:p>
          <w:p w:rsidR="00D618F1" w:rsidRDefault="00D618F1" w:rsidP="00D618F1">
            <w:pPr>
              <w:ind w:left="-80" w:right="-32"/>
            </w:pPr>
          </w:p>
        </w:tc>
        <w:tc>
          <w:tcPr>
            <w:tcW w:w="1842" w:type="dxa"/>
          </w:tcPr>
          <w:p w:rsidR="00D618F1" w:rsidRPr="001345A6" w:rsidRDefault="001345A6" w:rsidP="00D618F1">
            <w:pPr>
              <w:rPr>
                <w:rFonts w:cstheme="minorHAnsi"/>
                <w:sz w:val="16"/>
                <w:szCs w:val="16"/>
              </w:rPr>
            </w:pPr>
            <w:r w:rsidRPr="001345A6">
              <w:rPr>
                <w:rFonts w:cstheme="minorHAnsi"/>
                <w:sz w:val="16"/>
                <w:szCs w:val="16"/>
              </w:rPr>
              <w:lastRenderedPageBreak/>
              <w:t>Multidisciplinary Digital Publishing Institute</w:t>
            </w:r>
          </w:p>
        </w:tc>
        <w:tc>
          <w:tcPr>
            <w:tcW w:w="1843" w:type="dxa"/>
          </w:tcPr>
          <w:p w:rsidR="00D618F1" w:rsidRPr="001345A6" w:rsidRDefault="001345A6" w:rsidP="00D618F1">
            <w:pPr>
              <w:rPr>
                <w:rFonts w:cstheme="minorHAnsi"/>
                <w:sz w:val="16"/>
                <w:szCs w:val="16"/>
              </w:rPr>
            </w:pPr>
            <w:r w:rsidRPr="00196D32">
              <w:rPr>
                <w:sz w:val="16"/>
                <w:szCs w:val="16"/>
              </w:rPr>
              <w:t>Yes, the entire manuscript (with some additions and edits) is included in the thesis</w:t>
            </w:r>
          </w:p>
        </w:tc>
        <w:tc>
          <w:tcPr>
            <w:tcW w:w="1843" w:type="dxa"/>
          </w:tcPr>
          <w:p w:rsidR="00D618F1" w:rsidRPr="001345A6" w:rsidRDefault="001345A6" w:rsidP="00D618F1">
            <w:pPr>
              <w:rPr>
                <w:rFonts w:cstheme="minorHAnsi"/>
                <w:sz w:val="16"/>
                <w:szCs w:val="16"/>
              </w:rPr>
            </w:pPr>
            <w:r>
              <w:rPr>
                <w:rFonts w:cstheme="minorHAnsi"/>
                <w:sz w:val="16"/>
                <w:szCs w:val="16"/>
              </w:rPr>
              <w:t>No</w:t>
            </w:r>
          </w:p>
        </w:tc>
        <w:tc>
          <w:tcPr>
            <w:tcW w:w="1843" w:type="dxa"/>
          </w:tcPr>
          <w:p w:rsidR="00D618F1" w:rsidRPr="001345A6" w:rsidRDefault="001345A6" w:rsidP="00D618F1">
            <w:pPr>
              <w:rPr>
                <w:rFonts w:cstheme="minorHAnsi"/>
                <w:sz w:val="16"/>
                <w:szCs w:val="16"/>
              </w:rPr>
            </w:pPr>
            <w:r>
              <w:rPr>
                <w:rFonts w:cstheme="minorHAnsi"/>
                <w:sz w:val="16"/>
                <w:szCs w:val="16"/>
              </w:rPr>
              <w:t>Yes, t</w:t>
            </w:r>
            <w:r w:rsidRPr="001345A6">
              <w:rPr>
                <w:rFonts w:cstheme="minorHAnsi"/>
                <w:sz w:val="16"/>
                <w:szCs w:val="16"/>
              </w:rPr>
              <w:t xml:space="preserve">his is an open access article distributed under the Creative Commons Attribution License which permits unrestricted use, distribution, and reproduction in any medium, provided the </w:t>
            </w:r>
            <w:r w:rsidRPr="001345A6">
              <w:rPr>
                <w:rFonts w:cstheme="minorHAnsi"/>
                <w:sz w:val="16"/>
                <w:szCs w:val="16"/>
              </w:rPr>
              <w:lastRenderedPageBreak/>
              <w:t>original work is properly cited (CC BY 4.0).</w:t>
            </w:r>
          </w:p>
        </w:tc>
        <w:tc>
          <w:tcPr>
            <w:tcW w:w="2126" w:type="dxa"/>
          </w:tcPr>
          <w:p w:rsidR="00D618F1" w:rsidRPr="001345A6" w:rsidRDefault="001345A6" w:rsidP="00D618F1">
            <w:pPr>
              <w:rPr>
                <w:rFonts w:cstheme="minorHAnsi"/>
                <w:sz w:val="16"/>
                <w:szCs w:val="16"/>
              </w:rPr>
            </w:pPr>
            <w:r>
              <w:rPr>
                <w:rFonts w:cstheme="minorHAnsi"/>
                <w:sz w:val="16"/>
                <w:szCs w:val="16"/>
              </w:rPr>
              <w:lastRenderedPageBreak/>
              <w:t xml:space="preserve">No, </w:t>
            </w:r>
            <w:r w:rsidRPr="001345A6">
              <w:rPr>
                <w:rFonts w:cstheme="minorHAnsi"/>
                <w:sz w:val="16"/>
                <w:szCs w:val="16"/>
              </w:rPr>
              <w:t>this is an open access article distributed under the Creative Commons Attribution License which permits unrestricted use, distribution, and reproduction in any medium, provided the original work is properly cited (CC BY 4.0).</w:t>
            </w:r>
          </w:p>
        </w:tc>
        <w:tc>
          <w:tcPr>
            <w:tcW w:w="2268" w:type="dxa"/>
          </w:tcPr>
          <w:p w:rsidR="00D618F1" w:rsidRPr="001345A6" w:rsidRDefault="001345A6" w:rsidP="00D618F1">
            <w:pPr>
              <w:rPr>
                <w:rFonts w:cstheme="minorHAnsi"/>
                <w:sz w:val="16"/>
                <w:szCs w:val="16"/>
              </w:rPr>
            </w:pPr>
            <w:r>
              <w:rPr>
                <w:rFonts w:cstheme="minorHAnsi"/>
                <w:sz w:val="16"/>
                <w:szCs w:val="16"/>
              </w:rPr>
              <w:t>Yes</w:t>
            </w:r>
            <w:r w:rsidR="00872801">
              <w:rPr>
                <w:rFonts w:cstheme="minorHAnsi"/>
                <w:sz w:val="16"/>
                <w:szCs w:val="16"/>
              </w:rPr>
              <w:t xml:space="preserve">, </w:t>
            </w:r>
            <w:r w:rsidR="00872801" w:rsidRPr="001345A6">
              <w:rPr>
                <w:rFonts w:cstheme="minorHAnsi"/>
                <w:sz w:val="16"/>
                <w:szCs w:val="16"/>
              </w:rPr>
              <w:t>this is an open access article distributed under the Creative Commons Attribution License which permits unrestricted use, distribution, and reproduction in any medium, provided the original work is properly cited (CC BY 4.0).</w:t>
            </w:r>
          </w:p>
        </w:tc>
        <w:tc>
          <w:tcPr>
            <w:tcW w:w="1984" w:type="dxa"/>
          </w:tcPr>
          <w:p w:rsidR="00D618F1" w:rsidRPr="001345A6" w:rsidRDefault="001345A6" w:rsidP="00D618F1">
            <w:pPr>
              <w:rPr>
                <w:rFonts w:cstheme="minorHAnsi"/>
                <w:sz w:val="16"/>
                <w:szCs w:val="16"/>
              </w:rPr>
            </w:pPr>
            <w:r>
              <w:rPr>
                <w:rFonts w:cstheme="minorHAnsi"/>
                <w:sz w:val="16"/>
                <w:szCs w:val="16"/>
              </w:rPr>
              <w:t>Nil</w:t>
            </w:r>
          </w:p>
        </w:tc>
      </w:tr>
      <w:tr w:rsidR="00D618F1" w:rsidTr="00196D32">
        <w:tc>
          <w:tcPr>
            <w:tcW w:w="1668" w:type="dxa"/>
          </w:tcPr>
          <w:p w:rsidR="00D618F1" w:rsidRDefault="00D618F1" w:rsidP="00D618F1">
            <w:pPr>
              <w:ind w:left="-80" w:right="-32"/>
              <w:rPr>
                <w:rFonts w:cstheme="minorHAnsi"/>
                <w:noProof/>
                <w:color w:val="000000" w:themeColor="text1"/>
                <w:sz w:val="16"/>
                <w:szCs w:val="16"/>
              </w:rPr>
            </w:pPr>
            <w:r w:rsidRPr="009520CA">
              <w:rPr>
                <w:rFonts w:cstheme="minorHAnsi"/>
                <w:noProof/>
                <w:color w:val="000000" w:themeColor="text1"/>
                <w:sz w:val="16"/>
                <w:szCs w:val="16"/>
              </w:rPr>
              <w:t>Lew CCH, Wong GJY, Tan CK, Miller M. Performance of the Acute Physiology and Chronic Health Evaluation II (APACHE II) in the prediction of hospital mortality in a mixed ICU in Singapore.  PoSH 2018</w:t>
            </w:r>
            <w:r>
              <w:rPr>
                <w:rFonts w:cstheme="minorHAnsi"/>
                <w:noProof/>
                <w:color w:val="000000" w:themeColor="text1"/>
                <w:sz w:val="16"/>
                <w:szCs w:val="16"/>
              </w:rPr>
              <w:t xml:space="preserve">, </w:t>
            </w:r>
            <w:hyperlink r:id="rId8" w:history="1">
              <w:r w:rsidRPr="00F4535C">
                <w:rPr>
                  <w:rStyle w:val="Hyperlink"/>
                  <w:rFonts w:cstheme="minorHAnsi"/>
                  <w:noProof/>
                  <w:sz w:val="16"/>
                  <w:szCs w:val="16"/>
                </w:rPr>
                <w:t>https://journals.sagepub.com/doi/full/10.1177/2010105818812896</w:t>
              </w:r>
            </w:hyperlink>
          </w:p>
          <w:p w:rsidR="00D618F1" w:rsidRPr="003C5157" w:rsidRDefault="00D618F1" w:rsidP="00D618F1">
            <w:pPr>
              <w:ind w:left="-80" w:right="-32"/>
              <w:rPr>
                <w:rFonts w:ascii="Times New Roman" w:hAnsi="Times New Roman" w:cs="Times New Roman"/>
                <w:color w:val="000000" w:themeColor="text1"/>
                <w:sz w:val="20"/>
                <w:szCs w:val="20"/>
              </w:rPr>
            </w:pPr>
          </w:p>
        </w:tc>
        <w:tc>
          <w:tcPr>
            <w:tcW w:w="1842" w:type="dxa"/>
          </w:tcPr>
          <w:p w:rsidR="00D618F1" w:rsidRPr="001345A6" w:rsidRDefault="00872801" w:rsidP="00D618F1">
            <w:pPr>
              <w:rPr>
                <w:rFonts w:cstheme="minorHAnsi"/>
                <w:sz w:val="16"/>
                <w:szCs w:val="16"/>
              </w:rPr>
            </w:pPr>
            <w:r>
              <w:rPr>
                <w:rFonts w:cstheme="minorHAnsi"/>
                <w:sz w:val="16"/>
                <w:szCs w:val="16"/>
              </w:rPr>
              <w:t>Sage Publishing</w:t>
            </w:r>
          </w:p>
        </w:tc>
        <w:tc>
          <w:tcPr>
            <w:tcW w:w="1843" w:type="dxa"/>
          </w:tcPr>
          <w:p w:rsidR="00D618F1" w:rsidRPr="001345A6" w:rsidRDefault="00872801" w:rsidP="00D618F1">
            <w:pPr>
              <w:rPr>
                <w:rFonts w:cstheme="minorHAnsi"/>
                <w:sz w:val="16"/>
                <w:szCs w:val="16"/>
              </w:rPr>
            </w:pPr>
            <w:r w:rsidRPr="00196D32">
              <w:rPr>
                <w:sz w:val="16"/>
                <w:szCs w:val="16"/>
              </w:rPr>
              <w:t>Yes, the entire manuscript (with some additions and edits) is included in the thesis</w:t>
            </w:r>
          </w:p>
        </w:tc>
        <w:tc>
          <w:tcPr>
            <w:tcW w:w="1843" w:type="dxa"/>
          </w:tcPr>
          <w:p w:rsidR="00D618F1" w:rsidRPr="001345A6" w:rsidRDefault="00872801" w:rsidP="00D618F1">
            <w:pPr>
              <w:rPr>
                <w:rFonts w:cstheme="minorHAnsi"/>
                <w:sz w:val="16"/>
                <w:szCs w:val="16"/>
              </w:rPr>
            </w:pPr>
            <w:r>
              <w:rPr>
                <w:rFonts w:cstheme="minorHAnsi"/>
                <w:sz w:val="16"/>
                <w:szCs w:val="16"/>
              </w:rPr>
              <w:t>No</w:t>
            </w:r>
          </w:p>
        </w:tc>
        <w:tc>
          <w:tcPr>
            <w:tcW w:w="1843" w:type="dxa"/>
          </w:tcPr>
          <w:p w:rsidR="00D618F1" w:rsidRPr="001345A6" w:rsidRDefault="00872801" w:rsidP="00872801">
            <w:pPr>
              <w:rPr>
                <w:rFonts w:cstheme="minorHAnsi"/>
                <w:sz w:val="16"/>
                <w:szCs w:val="16"/>
              </w:rPr>
            </w:pPr>
            <w:r>
              <w:rPr>
                <w:rFonts w:cstheme="minorHAnsi"/>
                <w:sz w:val="16"/>
                <w:szCs w:val="16"/>
              </w:rPr>
              <w:t xml:space="preserve">Yes, This is an open access article. </w:t>
            </w:r>
          </w:p>
        </w:tc>
        <w:tc>
          <w:tcPr>
            <w:tcW w:w="2126" w:type="dxa"/>
          </w:tcPr>
          <w:p w:rsidR="00D618F1" w:rsidRPr="001345A6" w:rsidRDefault="00872801" w:rsidP="00D618F1">
            <w:pPr>
              <w:rPr>
                <w:rFonts w:cstheme="minorHAnsi"/>
                <w:sz w:val="16"/>
                <w:szCs w:val="16"/>
              </w:rPr>
            </w:pPr>
            <w:r>
              <w:rPr>
                <w:rFonts w:cstheme="minorHAnsi"/>
                <w:sz w:val="16"/>
                <w:szCs w:val="16"/>
              </w:rPr>
              <w:t xml:space="preserve">No This is an open access article. </w:t>
            </w:r>
          </w:p>
        </w:tc>
        <w:tc>
          <w:tcPr>
            <w:tcW w:w="2268" w:type="dxa"/>
          </w:tcPr>
          <w:p w:rsidR="00D618F1" w:rsidRPr="001345A6" w:rsidRDefault="00872801" w:rsidP="00D618F1">
            <w:pPr>
              <w:rPr>
                <w:rFonts w:cstheme="minorHAnsi"/>
                <w:sz w:val="16"/>
                <w:szCs w:val="16"/>
              </w:rPr>
            </w:pPr>
            <w:r>
              <w:rPr>
                <w:rFonts w:cstheme="minorHAnsi"/>
                <w:sz w:val="16"/>
                <w:szCs w:val="16"/>
              </w:rPr>
              <w:t>Yes, 15</w:t>
            </w:r>
            <w:r w:rsidRPr="00872801">
              <w:rPr>
                <w:rFonts w:cstheme="minorHAnsi"/>
                <w:sz w:val="16"/>
                <w:szCs w:val="16"/>
                <w:vertAlign w:val="superscript"/>
              </w:rPr>
              <w:t>th</w:t>
            </w:r>
            <w:r>
              <w:rPr>
                <w:rFonts w:cstheme="minorHAnsi"/>
                <w:sz w:val="16"/>
                <w:szCs w:val="16"/>
              </w:rPr>
              <w:t xml:space="preserve"> July 2019, permission was </w:t>
            </w:r>
            <w:r>
              <w:rPr>
                <w:sz w:val="16"/>
                <w:szCs w:val="16"/>
              </w:rPr>
              <w:t xml:space="preserve">granted via Copyright Clearance </w:t>
            </w:r>
            <w:proofErr w:type="spellStart"/>
            <w:r>
              <w:rPr>
                <w:sz w:val="16"/>
                <w:szCs w:val="16"/>
              </w:rPr>
              <w:t>Center</w:t>
            </w:r>
            <w:proofErr w:type="spellEnd"/>
            <w:r>
              <w:rPr>
                <w:sz w:val="16"/>
                <w:szCs w:val="16"/>
              </w:rPr>
              <w:t xml:space="preserve"> with the following statement dated on 15</w:t>
            </w:r>
            <w:r w:rsidRPr="00D618F1">
              <w:rPr>
                <w:sz w:val="16"/>
                <w:szCs w:val="16"/>
                <w:vertAlign w:val="superscript"/>
              </w:rPr>
              <w:t>th</w:t>
            </w:r>
            <w:r>
              <w:rPr>
                <w:sz w:val="16"/>
                <w:szCs w:val="16"/>
              </w:rPr>
              <w:t xml:space="preserve"> July 2019:</w:t>
            </w:r>
            <w:r>
              <w:rPr>
                <w:sz w:val="16"/>
                <w:szCs w:val="16"/>
              </w:rPr>
              <w:t xml:space="preserve"> </w:t>
            </w:r>
            <w:r w:rsidRPr="00872801">
              <w:rPr>
                <w:rFonts w:cstheme="minorHAnsi"/>
                <w:sz w:val="16"/>
                <w:szCs w:val="16"/>
              </w:rPr>
              <w:t>If you are a SAGE journal author requesting permission to reuse material from your journal article, please note you may be able to reuse your content without requiring permission from SAGE. Please review SAGE’s author re-use and archiving policies at https://us.sagepub.com/en-us/nam/journal-author-archiving-policies-and-re-use for more information.</w:t>
            </w:r>
          </w:p>
        </w:tc>
        <w:tc>
          <w:tcPr>
            <w:tcW w:w="1984" w:type="dxa"/>
          </w:tcPr>
          <w:p w:rsidR="00D618F1" w:rsidRPr="001345A6" w:rsidRDefault="00CD0943" w:rsidP="00D618F1">
            <w:pPr>
              <w:rPr>
                <w:rFonts w:cstheme="minorHAnsi"/>
                <w:sz w:val="16"/>
                <w:szCs w:val="16"/>
              </w:rPr>
            </w:pPr>
            <w:r>
              <w:rPr>
                <w:rFonts w:cstheme="minorHAnsi"/>
                <w:sz w:val="16"/>
                <w:szCs w:val="16"/>
              </w:rPr>
              <w:t>Nil</w:t>
            </w:r>
          </w:p>
        </w:tc>
      </w:tr>
      <w:tr w:rsidR="00D618F1" w:rsidTr="00196D32">
        <w:tc>
          <w:tcPr>
            <w:tcW w:w="1668" w:type="dxa"/>
          </w:tcPr>
          <w:p w:rsidR="00D618F1" w:rsidRDefault="00D618F1" w:rsidP="00D618F1">
            <w:pPr>
              <w:ind w:left="-80" w:right="-32"/>
              <w:rPr>
                <w:rFonts w:cstheme="minorHAnsi"/>
                <w:color w:val="000000" w:themeColor="text1"/>
                <w:sz w:val="16"/>
                <w:szCs w:val="16"/>
              </w:rPr>
            </w:pPr>
            <w:r w:rsidRPr="009520CA">
              <w:rPr>
                <w:rFonts w:cstheme="minorHAnsi"/>
                <w:color w:val="000000" w:themeColor="text1"/>
                <w:sz w:val="16"/>
                <w:szCs w:val="16"/>
              </w:rPr>
              <w:t xml:space="preserve">Lew CCH, Cheung KP, Chong MFF, Chua AP, Fraser RJL, Miller M. Combining two commonly adopted nutrition instruments in the critical care setting </w:t>
            </w:r>
            <w:r w:rsidRPr="009520CA">
              <w:rPr>
                <w:rFonts w:cstheme="minorHAnsi"/>
                <w:noProof/>
                <w:color w:val="000000" w:themeColor="text1"/>
                <w:sz w:val="16"/>
                <w:szCs w:val="16"/>
              </w:rPr>
              <w:t>is</w:t>
            </w:r>
            <w:r w:rsidRPr="009520CA">
              <w:rPr>
                <w:rFonts w:cstheme="minorHAnsi"/>
                <w:color w:val="000000" w:themeColor="text1"/>
                <w:sz w:val="16"/>
                <w:szCs w:val="16"/>
              </w:rPr>
              <w:t xml:space="preserve"> superior to administering either one alone. JPEN J </w:t>
            </w:r>
            <w:proofErr w:type="spellStart"/>
            <w:r w:rsidRPr="009520CA">
              <w:rPr>
                <w:rFonts w:cstheme="minorHAnsi"/>
                <w:color w:val="000000" w:themeColor="text1"/>
                <w:sz w:val="16"/>
                <w:szCs w:val="16"/>
              </w:rPr>
              <w:t>Parenter</w:t>
            </w:r>
            <w:proofErr w:type="spellEnd"/>
            <w:r w:rsidRPr="009520CA">
              <w:rPr>
                <w:rFonts w:cstheme="minorHAnsi"/>
                <w:color w:val="000000" w:themeColor="text1"/>
                <w:sz w:val="16"/>
                <w:szCs w:val="16"/>
              </w:rPr>
              <w:t xml:space="preserve"> Enteral </w:t>
            </w:r>
            <w:proofErr w:type="spellStart"/>
            <w:r w:rsidRPr="009520CA">
              <w:rPr>
                <w:rFonts w:cstheme="minorHAnsi"/>
                <w:color w:val="000000" w:themeColor="text1"/>
                <w:sz w:val="16"/>
                <w:szCs w:val="16"/>
              </w:rPr>
              <w:t>Nutr</w:t>
            </w:r>
            <w:proofErr w:type="spellEnd"/>
            <w:r w:rsidRPr="009520CA">
              <w:rPr>
                <w:rFonts w:cstheme="minorHAnsi"/>
                <w:color w:val="000000" w:themeColor="text1"/>
                <w:sz w:val="16"/>
                <w:szCs w:val="16"/>
              </w:rPr>
              <w:t>. 2018;42(5):872-6</w:t>
            </w:r>
            <w:r>
              <w:rPr>
                <w:rFonts w:cstheme="minorHAnsi"/>
                <w:color w:val="000000" w:themeColor="text1"/>
                <w:sz w:val="16"/>
                <w:szCs w:val="16"/>
              </w:rPr>
              <w:t xml:space="preserve">, </w:t>
            </w:r>
            <w:hyperlink r:id="rId9" w:history="1">
              <w:r w:rsidRPr="00F4535C">
                <w:rPr>
                  <w:rStyle w:val="Hyperlink"/>
                  <w:rFonts w:cstheme="minorHAnsi"/>
                  <w:sz w:val="16"/>
                  <w:szCs w:val="16"/>
                </w:rPr>
                <w:t>https://onlinelibrary.wiley.com/doi/abs/10.1177/0148607117726060</w:t>
              </w:r>
            </w:hyperlink>
          </w:p>
          <w:p w:rsidR="00D618F1" w:rsidRPr="009520CA" w:rsidRDefault="00D618F1" w:rsidP="00D618F1">
            <w:pPr>
              <w:ind w:left="-80" w:right="-32"/>
              <w:rPr>
                <w:rFonts w:cstheme="minorHAnsi"/>
                <w:color w:val="000000" w:themeColor="text1"/>
                <w:sz w:val="16"/>
                <w:szCs w:val="16"/>
              </w:rPr>
            </w:pPr>
          </w:p>
        </w:tc>
        <w:tc>
          <w:tcPr>
            <w:tcW w:w="1842" w:type="dxa"/>
          </w:tcPr>
          <w:p w:rsidR="00D618F1" w:rsidRPr="001345A6" w:rsidRDefault="00D618F1" w:rsidP="00D618F1">
            <w:pPr>
              <w:rPr>
                <w:rFonts w:cstheme="minorHAnsi"/>
                <w:sz w:val="16"/>
                <w:szCs w:val="16"/>
              </w:rPr>
            </w:pPr>
            <w:r w:rsidRPr="001345A6">
              <w:rPr>
                <w:rFonts w:cstheme="minorHAnsi"/>
                <w:sz w:val="16"/>
                <w:szCs w:val="16"/>
              </w:rPr>
              <w:t>Wiley Online Library, https://s100.copyright.com/AppDispatchServlet#formTop</w:t>
            </w:r>
          </w:p>
        </w:tc>
        <w:tc>
          <w:tcPr>
            <w:tcW w:w="1843" w:type="dxa"/>
          </w:tcPr>
          <w:p w:rsidR="00D618F1" w:rsidRPr="001345A6" w:rsidRDefault="00D618F1" w:rsidP="00D618F1">
            <w:pPr>
              <w:rPr>
                <w:rFonts w:cstheme="minorHAnsi"/>
                <w:sz w:val="16"/>
                <w:szCs w:val="16"/>
              </w:rPr>
            </w:pPr>
            <w:r w:rsidRPr="001345A6">
              <w:rPr>
                <w:rFonts w:cstheme="minorHAnsi"/>
                <w:sz w:val="16"/>
                <w:szCs w:val="16"/>
              </w:rPr>
              <w:t>Yes, the entire manuscript (with some additions and edits) is included in the thesis</w:t>
            </w:r>
          </w:p>
        </w:tc>
        <w:tc>
          <w:tcPr>
            <w:tcW w:w="1843" w:type="dxa"/>
          </w:tcPr>
          <w:p w:rsidR="00D618F1" w:rsidRPr="001345A6" w:rsidRDefault="00D618F1" w:rsidP="00D618F1">
            <w:pPr>
              <w:rPr>
                <w:rFonts w:cstheme="minorHAnsi"/>
                <w:sz w:val="16"/>
                <w:szCs w:val="16"/>
              </w:rPr>
            </w:pPr>
            <w:r w:rsidRPr="001345A6">
              <w:rPr>
                <w:rFonts w:cstheme="minorHAnsi"/>
                <w:sz w:val="16"/>
                <w:szCs w:val="16"/>
              </w:rPr>
              <w:t>No</w:t>
            </w:r>
          </w:p>
        </w:tc>
        <w:tc>
          <w:tcPr>
            <w:tcW w:w="1843" w:type="dxa"/>
          </w:tcPr>
          <w:p w:rsidR="00D618F1" w:rsidRPr="001345A6" w:rsidRDefault="00D618F1" w:rsidP="00D618F1">
            <w:pPr>
              <w:rPr>
                <w:rFonts w:cstheme="minorHAnsi"/>
                <w:sz w:val="16"/>
                <w:szCs w:val="16"/>
              </w:rPr>
            </w:pPr>
            <w:r w:rsidRPr="001345A6">
              <w:rPr>
                <w:rFonts w:cstheme="minorHAnsi"/>
                <w:sz w:val="16"/>
                <w:szCs w:val="16"/>
              </w:rPr>
              <w:t>No</w:t>
            </w:r>
          </w:p>
        </w:tc>
        <w:tc>
          <w:tcPr>
            <w:tcW w:w="2126" w:type="dxa"/>
          </w:tcPr>
          <w:p w:rsidR="00D618F1" w:rsidRPr="001345A6" w:rsidRDefault="00D618F1" w:rsidP="00D618F1">
            <w:pPr>
              <w:rPr>
                <w:rFonts w:cstheme="minorHAnsi"/>
                <w:sz w:val="16"/>
                <w:szCs w:val="16"/>
              </w:rPr>
            </w:pPr>
            <w:r w:rsidRPr="001345A6">
              <w:rPr>
                <w:rFonts w:cstheme="minorHAnsi"/>
                <w:sz w:val="16"/>
                <w:szCs w:val="16"/>
              </w:rPr>
              <w:t>Yes, 15</w:t>
            </w:r>
            <w:r w:rsidRPr="001345A6">
              <w:rPr>
                <w:rFonts w:cstheme="minorHAnsi"/>
                <w:sz w:val="16"/>
                <w:szCs w:val="16"/>
                <w:vertAlign w:val="superscript"/>
              </w:rPr>
              <w:t>th</w:t>
            </w:r>
            <w:r w:rsidRPr="001345A6">
              <w:rPr>
                <w:rFonts w:cstheme="minorHAnsi"/>
                <w:sz w:val="16"/>
                <w:szCs w:val="16"/>
              </w:rPr>
              <w:t xml:space="preserve"> July 2019</w:t>
            </w:r>
          </w:p>
        </w:tc>
        <w:tc>
          <w:tcPr>
            <w:tcW w:w="2268" w:type="dxa"/>
          </w:tcPr>
          <w:p w:rsidR="00D618F1" w:rsidRPr="001345A6" w:rsidRDefault="00D618F1" w:rsidP="00D618F1">
            <w:pPr>
              <w:rPr>
                <w:rFonts w:cstheme="minorHAnsi"/>
                <w:sz w:val="16"/>
                <w:szCs w:val="16"/>
              </w:rPr>
            </w:pPr>
            <w:r w:rsidRPr="001345A6">
              <w:rPr>
                <w:rFonts w:cstheme="minorHAnsi"/>
                <w:sz w:val="16"/>
                <w:szCs w:val="16"/>
              </w:rPr>
              <w:t>Yes,, 15</w:t>
            </w:r>
            <w:r w:rsidRPr="001345A6">
              <w:rPr>
                <w:rFonts w:cstheme="minorHAnsi"/>
                <w:sz w:val="16"/>
                <w:szCs w:val="16"/>
                <w:vertAlign w:val="superscript"/>
              </w:rPr>
              <w:t>th</w:t>
            </w:r>
            <w:r w:rsidRPr="001345A6">
              <w:rPr>
                <w:rFonts w:cstheme="minorHAnsi"/>
                <w:sz w:val="16"/>
                <w:szCs w:val="16"/>
              </w:rPr>
              <w:t xml:space="preserve"> July 2019, License number: 4630141323232</w:t>
            </w:r>
          </w:p>
        </w:tc>
        <w:tc>
          <w:tcPr>
            <w:tcW w:w="1984" w:type="dxa"/>
          </w:tcPr>
          <w:p w:rsidR="00D618F1" w:rsidRPr="001345A6" w:rsidRDefault="00D618F1" w:rsidP="00D618F1">
            <w:pPr>
              <w:rPr>
                <w:rFonts w:cstheme="minorHAnsi"/>
                <w:sz w:val="16"/>
                <w:szCs w:val="16"/>
              </w:rPr>
            </w:pPr>
            <w:r w:rsidRPr="001345A6">
              <w:rPr>
                <w:rFonts w:cstheme="minorHAnsi"/>
                <w:sz w:val="16"/>
                <w:szCs w:val="16"/>
              </w:rPr>
              <w:t>Nil</w:t>
            </w:r>
          </w:p>
        </w:tc>
      </w:tr>
      <w:tr w:rsidR="00CD0943" w:rsidTr="00196D32">
        <w:tc>
          <w:tcPr>
            <w:tcW w:w="1668" w:type="dxa"/>
          </w:tcPr>
          <w:p w:rsidR="00CD0943" w:rsidRDefault="00CD0943" w:rsidP="00CD0943">
            <w:pPr>
              <w:ind w:left="-80" w:right="-32"/>
              <w:rPr>
                <w:rFonts w:cstheme="minorHAnsi"/>
                <w:color w:val="000000" w:themeColor="text1"/>
                <w:sz w:val="16"/>
                <w:szCs w:val="16"/>
              </w:rPr>
            </w:pPr>
            <w:r w:rsidRPr="009520CA">
              <w:rPr>
                <w:rFonts w:cstheme="minorHAnsi"/>
                <w:color w:val="000000" w:themeColor="text1"/>
                <w:sz w:val="16"/>
                <w:szCs w:val="16"/>
              </w:rPr>
              <w:t xml:space="preserve">Lew CCH, Wong GJY, Cheung KP, Fraser RJ, Chua AP, Chong MFF, et al. When timing and dose of nutrition support were examined, the modified Nutrition Risk in Critically Ill (mNUTRIC) score did not differentiate high-risk patients who would derive the most benefit </w:t>
            </w:r>
            <w:r w:rsidRPr="009520CA">
              <w:rPr>
                <w:rFonts w:cstheme="minorHAnsi"/>
                <w:color w:val="000000" w:themeColor="text1"/>
                <w:sz w:val="16"/>
                <w:szCs w:val="16"/>
              </w:rPr>
              <w:lastRenderedPageBreak/>
              <w:t>from nutrition support: A prospective cohort study. Ann Intensive Care. 2018;8(1):98</w:t>
            </w:r>
            <w:r>
              <w:rPr>
                <w:rFonts w:cstheme="minorHAnsi"/>
                <w:color w:val="000000" w:themeColor="text1"/>
                <w:sz w:val="16"/>
                <w:szCs w:val="16"/>
              </w:rPr>
              <w:t xml:space="preserve">, </w:t>
            </w:r>
            <w:hyperlink r:id="rId10" w:history="1">
              <w:r w:rsidRPr="00F4535C">
                <w:rPr>
                  <w:rStyle w:val="Hyperlink"/>
                  <w:rFonts w:cstheme="minorHAnsi"/>
                  <w:sz w:val="16"/>
                  <w:szCs w:val="16"/>
                </w:rPr>
                <w:t>https://annalsofintensivecare.springeropen.com/articles/10.1186/s13613-018-0443-1</w:t>
              </w:r>
            </w:hyperlink>
          </w:p>
          <w:p w:rsidR="00CD0943" w:rsidRPr="009520CA" w:rsidRDefault="00CD0943" w:rsidP="00CD0943">
            <w:pPr>
              <w:ind w:left="-80" w:right="-32"/>
              <w:rPr>
                <w:rFonts w:cstheme="minorHAnsi"/>
                <w:color w:val="000000" w:themeColor="text1"/>
                <w:sz w:val="16"/>
                <w:szCs w:val="16"/>
              </w:rPr>
            </w:pPr>
          </w:p>
        </w:tc>
        <w:tc>
          <w:tcPr>
            <w:tcW w:w="1842" w:type="dxa"/>
          </w:tcPr>
          <w:p w:rsidR="00CD0943" w:rsidRPr="001345A6" w:rsidRDefault="00CD0943" w:rsidP="00CD0943">
            <w:pPr>
              <w:rPr>
                <w:rFonts w:cstheme="minorHAnsi"/>
                <w:sz w:val="16"/>
                <w:szCs w:val="16"/>
              </w:rPr>
            </w:pPr>
            <w:proofErr w:type="spellStart"/>
            <w:r>
              <w:rPr>
                <w:rFonts w:cstheme="minorHAnsi"/>
                <w:sz w:val="16"/>
                <w:szCs w:val="16"/>
              </w:rPr>
              <w:lastRenderedPageBreak/>
              <w:t>SpringerOpen</w:t>
            </w:r>
            <w:proofErr w:type="spellEnd"/>
          </w:p>
        </w:tc>
        <w:tc>
          <w:tcPr>
            <w:tcW w:w="1843" w:type="dxa"/>
          </w:tcPr>
          <w:p w:rsidR="00CD0943" w:rsidRPr="001345A6" w:rsidRDefault="00CD0943" w:rsidP="00CD0943">
            <w:pPr>
              <w:rPr>
                <w:rFonts w:cstheme="minorHAnsi"/>
                <w:sz w:val="16"/>
                <w:szCs w:val="16"/>
              </w:rPr>
            </w:pPr>
            <w:r w:rsidRPr="001345A6">
              <w:rPr>
                <w:rFonts w:cstheme="minorHAnsi"/>
                <w:sz w:val="16"/>
                <w:szCs w:val="16"/>
              </w:rPr>
              <w:t>Yes, the entire manuscript (with some additions and edits) is included in the thesis</w:t>
            </w:r>
          </w:p>
        </w:tc>
        <w:tc>
          <w:tcPr>
            <w:tcW w:w="1843" w:type="dxa"/>
          </w:tcPr>
          <w:p w:rsidR="00CD0943" w:rsidRPr="001345A6" w:rsidRDefault="00CD0943" w:rsidP="00CD0943">
            <w:pPr>
              <w:rPr>
                <w:rFonts w:cstheme="minorHAnsi"/>
                <w:sz w:val="16"/>
                <w:szCs w:val="16"/>
              </w:rPr>
            </w:pPr>
            <w:r>
              <w:rPr>
                <w:rFonts w:cstheme="minorHAnsi"/>
                <w:sz w:val="16"/>
                <w:szCs w:val="16"/>
              </w:rPr>
              <w:t>No</w:t>
            </w:r>
          </w:p>
        </w:tc>
        <w:tc>
          <w:tcPr>
            <w:tcW w:w="1843" w:type="dxa"/>
          </w:tcPr>
          <w:p w:rsidR="00CD0943" w:rsidRPr="001345A6" w:rsidRDefault="00CD0943" w:rsidP="00CD0943">
            <w:pPr>
              <w:rPr>
                <w:rFonts w:cstheme="minorHAnsi"/>
                <w:sz w:val="16"/>
                <w:szCs w:val="16"/>
              </w:rPr>
            </w:pPr>
            <w:r>
              <w:rPr>
                <w:rFonts w:cstheme="minorHAnsi"/>
                <w:sz w:val="16"/>
                <w:szCs w:val="16"/>
              </w:rPr>
              <w:t>Yes, t</w:t>
            </w:r>
            <w:r w:rsidRPr="00CD0943">
              <w:rPr>
                <w:rFonts w:cstheme="minorHAnsi"/>
                <w:sz w:val="16"/>
                <w:szCs w:val="16"/>
              </w:rPr>
              <w:t xml:space="preserve">his article is distributed under the terms of the Creative Commons Attribution 4.0 International License (http://creativecommons.org/licenses/by/4.0/), which permits unrestricted use, distribution, and reproduction in any medium, provided you give appropriate credit </w:t>
            </w:r>
            <w:r w:rsidRPr="00CD0943">
              <w:rPr>
                <w:rFonts w:cstheme="minorHAnsi"/>
                <w:sz w:val="16"/>
                <w:szCs w:val="16"/>
              </w:rPr>
              <w:lastRenderedPageBreak/>
              <w:t>to the original author(s) and the source, provide a link to the Creative Commons license, and indicate if changes were made.</w:t>
            </w:r>
          </w:p>
        </w:tc>
        <w:tc>
          <w:tcPr>
            <w:tcW w:w="2126" w:type="dxa"/>
          </w:tcPr>
          <w:p w:rsidR="00CD0943" w:rsidRPr="001345A6" w:rsidRDefault="00CD0943" w:rsidP="00CD0943">
            <w:pPr>
              <w:rPr>
                <w:rFonts w:cstheme="minorHAnsi"/>
                <w:sz w:val="16"/>
                <w:szCs w:val="16"/>
              </w:rPr>
            </w:pPr>
            <w:r>
              <w:rPr>
                <w:rFonts w:cstheme="minorHAnsi"/>
                <w:sz w:val="16"/>
                <w:szCs w:val="16"/>
              </w:rPr>
              <w:lastRenderedPageBreak/>
              <w:t xml:space="preserve">No, </w:t>
            </w:r>
            <w:r>
              <w:rPr>
                <w:rFonts w:cstheme="minorHAnsi"/>
                <w:sz w:val="16"/>
                <w:szCs w:val="16"/>
              </w:rPr>
              <w:t>t</w:t>
            </w:r>
            <w:r w:rsidRPr="00CD0943">
              <w:rPr>
                <w:rFonts w:cstheme="minorHAnsi"/>
                <w:sz w:val="16"/>
                <w:szCs w:val="16"/>
              </w:rPr>
              <w:t xml:space="preserve">his article is distributed under the terms of the Creative Commons Attribution 4.0 International License (http://creativecommons.org/licenses/by/4.0/), which permits unrestricted use, distribution, and reproduction in any medium, provided you give appropriate credit to the original author(s) and the </w:t>
            </w:r>
            <w:r w:rsidRPr="00CD0943">
              <w:rPr>
                <w:rFonts w:cstheme="minorHAnsi"/>
                <w:sz w:val="16"/>
                <w:szCs w:val="16"/>
              </w:rPr>
              <w:lastRenderedPageBreak/>
              <w:t>source, provide a link to the Creative Commons license, and indicate if changes were made.</w:t>
            </w:r>
          </w:p>
        </w:tc>
        <w:tc>
          <w:tcPr>
            <w:tcW w:w="2268" w:type="dxa"/>
          </w:tcPr>
          <w:p w:rsidR="00CD0943" w:rsidRPr="001345A6" w:rsidRDefault="00CD0943" w:rsidP="00CD0943">
            <w:pPr>
              <w:rPr>
                <w:rFonts w:cstheme="minorHAnsi"/>
                <w:sz w:val="16"/>
                <w:szCs w:val="16"/>
              </w:rPr>
            </w:pPr>
            <w:r>
              <w:rPr>
                <w:rFonts w:cstheme="minorHAnsi"/>
                <w:sz w:val="16"/>
                <w:szCs w:val="16"/>
              </w:rPr>
              <w:lastRenderedPageBreak/>
              <w:t>Yes</w:t>
            </w:r>
          </w:p>
        </w:tc>
        <w:tc>
          <w:tcPr>
            <w:tcW w:w="1984" w:type="dxa"/>
          </w:tcPr>
          <w:p w:rsidR="00CD0943" w:rsidRPr="001345A6" w:rsidRDefault="00CD0943" w:rsidP="00CD0943">
            <w:pPr>
              <w:rPr>
                <w:rFonts w:cstheme="minorHAnsi"/>
                <w:sz w:val="16"/>
                <w:szCs w:val="16"/>
              </w:rPr>
            </w:pPr>
            <w:r>
              <w:rPr>
                <w:rFonts w:cstheme="minorHAnsi"/>
                <w:sz w:val="16"/>
                <w:szCs w:val="16"/>
              </w:rPr>
              <w:t>Nil</w:t>
            </w:r>
          </w:p>
        </w:tc>
      </w:tr>
      <w:tr w:rsidR="00043DD7" w:rsidTr="00196D32">
        <w:tc>
          <w:tcPr>
            <w:tcW w:w="1668" w:type="dxa"/>
          </w:tcPr>
          <w:p w:rsidR="00043DD7" w:rsidRDefault="00043DD7" w:rsidP="00043DD7">
            <w:pPr>
              <w:rPr>
                <w:rFonts w:cstheme="minorHAnsi"/>
                <w:sz w:val="16"/>
                <w:szCs w:val="16"/>
              </w:rPr>
            </w:pPr>
            <w:r w:rsidRPr="009520CA">
              <w:rPr>
                <w:rFonts w:cstheme="minorHAnsi"/>
                <w:color w:val="000000" w:themeColor="text1"/>
                <w:sz w:val="16"/>
                <w:szCs w:val="16"/>
              </w:rPr>
              <w:t xml:space="preserve">Lew CCH, Wong GJY, Cheung KP, et al. The association between nutritional adequacy and 28-day mortality in the critically ill is not modified by their baseline nutritional status and disease severity. </w:t>
            </w:r>
            <w:proofErr w:type="spellStart"/>
            <w:r w:rsidRPr="009520CA">
              <w:rPr>
                <w:rFonts w:cstheme="minorHAnsi"/>
                <w:color w:val="000000" w:themeColor="text1"/>
                <w:sz w:val="16"/>
                <w:szCs w:val="16"/>
              </w:rPr>
              <w:t>Crit</w:t>
            </w:r>
            <w:proofErr w:type="spellEnd"/>
            <w:r w:rsidRPr="009520CA">
              <w:rPr>
                <w:rFonts w:cstheme="minorHAnsi"/>
                <w:color w:val="000000" w:themeColor="text1"/>
                <w:sz w:val="16"/>
                <w:szCs w:val="16"/>
              </w:rPr>
              <w:t xml:space="preserve"> Care. 2019;23(1)</w:t>
            </w:r>
            <w:r>
              <w:rPr>
                <w:rFonts w:cstheme="minorHAnsi"/>
                <w:color w:val="000000" w:themeColor="text1"/>
                <w:sz w:val="16"/>
                <w:szCs w:val="16"/>
              </w:rPr>
              <w:t xml:space="preserve">, </w:t>
            </w:r>
            <w:hyperlink r:id="rId11" w:history="1">
              <w:r w:rsidRPr="00F4535C">
                <w:rPr>
                  <w:rStyle w:val="Hyperlink"/>
                  <w:rFonts w:cstheme="minorHAnsi"/>
                  <w:sz w:val="16"/>
                  <w:szCs w:val="16"/>
                </w:rPr>
                <w:t>https://ccforum.biomedcentral.com/articles/10.1186/s13054-019-2500-z</w:t>
              </w:r>
            </w:hyperlink>
          </w:p>
          <w:p w:rsidR="00043DD7" w:rsidRPr="009520CA" w:rsidRDefault="00043DD7" w:rsidP="00043DD7">
            <w:pPr>
              <w:rPr>
                <w:rFonts w:cstheme="minorHAnsi"/>
                <w:sz w:val="16"/>
                <w:szCs w:val="16"/>
              </w:rPr>
            </w:pPr>
          </w:p>
        </w:tc>
        <w:tc>
          <w:tcPr>
            <w:tcW w:w="1842" w:type="dxa"/>
          </w:tcPr>
          <w:p w:rsidR="00043DD7" w:rsidRPr="001345A6" w:rsidRDefault="007E4F3F" w:rsidP="00043DD7">
            <w:pPr>
              <w:rPr>
                <w:rFonts w:cstheme="minorHAnsi"/>
                <w:sz w:val="16"/>
                <w:szCs w:val="16"/>
              </w:rPr>
            </w:pPr>
            <w:proofErr w:type="spellStart"/>
            <w:r w:rsidRPr="007E4F3F">
              <w:rPr>
                <w:rFonts w:cstheme="minorHAnsi"/>
                <w:sz w:val="16"/>
                <w:szCs w:val="16"/>
              </w:rPr>
              <w:t>BioMed</w:t>
            </w:r>
            <w:proofErr w:type="spellEnd"/>
            <w:r w:rsidRPr="007E4F3F">
              <w:rPr>
                <w:rFonts w:cstheme="minorHAnsi"/>
                <w:sz w:val="16"/>
                <w:szCs w:val="16"/>
              </w:rPr>
              <w:t xml:space="preserve"> Central</w:t>
            </w:r>
          </w:p>
        </w:tc>
        <w:tc>
          <w:tcPr>
            <w:tcW w:w="1843" w:type="dxa"/>
          </w:tcPr>
          <w:p w:rsidR="00043DD7" w:rsidRPr="001345A6" w:rsidRDefault="00043DD7" w:rsidP="00043DD7">
            <w:pPr>
              <w:rPr>
                <w:rFonts w:cstheme="minorHAnsi"/>
                <w:sz w:val="16"/>
                <w:szCs w:val="16"/>
              </w:rPr>
            </w:pPr>
            <w:r w:rsidRPr="001345A6">
              <w:rPr>
                <w:rFonts w:cstheme="minorHAnsi"/>
                <w:sz w:val="16"/>
                <w:szCs w:val="16"/>
              </w:rPr>
              <w:t>Yes, the entire manuscript (with some additions and edits) is included in the thesis</w:t>
            </w:r>
          </w:p>
        </w:tc>
        <w:tc>
          <w:tcPr>
            <w:tcW w:w="1843" w:type="dxa"/>
          </w:tcPr>
          <w:p w:rsidR="00043DD7" w:rsidRPr="001345A6" w:rsidRDefault="00043DD7" w:rsidP="00043DD7">
            <w:pPr>
              <w:rPr>
                <w:rFonts w:cstheme="minorHAnsi"/>
                <w:sz w:val="16"/>
                <w:szCs w:val="16"/>
              </w:rPr>
            </w:pPr>
            <w:r>
              <w:rPr>
                <w:rFonts w:cstheme="minorHAnsi"/>
                <w:sz w:val="16"/>
                <w:szCs w:val="16"/>
              </w:rPr>
              <w:t>No</w:t>
            </w:r>
          </w:p>
        </w:tc>
        <w:tc>
          <w:tcPr>
            <w:tcW w:w="1843" w:type="dxa"/>
          </w:tcPr>
          <w:p w:rsidR="00043DD7" w:rsidRPr="001345A6" w:rsidRDefault="00043DD7" w:rsidP="00043DD7">
            <w:pPr>
              <w:rPr>
                <w:rFonts w:cstheme="minorHAnsi"/>
                <w:sz w:val="16"/>
                <w:szCs w:val="16"/>
              </w:rPr>
            </w:pPr>
            <w:r>
              <w:rPr>
                <w:rFonts w:cstheme="minorHAnsi"/>
                <w:sz w:val="16"/>
                <w:szCs w:val="16"/>
              </w:rPr>
              <w:t>Yes, t</w:t>
            </w:r>
            <w:r w:rsidRPr="00043DD7">
              <w:rPr>
                <w:rFonts w:cstheme="minorHAnsi"/>
                <w:sz w:val="16"/>
                <w:szCs w:val="16"/>
              </w:rPr>
              <w:t>his article is distributed under the terms of the Creative Commons Attribution 4.0 International License (http://creativecommons.org/licenses/by/4.0/), which permits unrestricted use, distributio</w:t>
            </w:r>
            <w:bookmarkStart w:id="0" w:name="_GoBack"/>
            <w:bookmarkEnd w:id="0"/>
            <w:r w:rsidRPr="00043DD7">
              <w:rPr>
                <w:rFonts w:cstheme="minorHAnsi"/>
                <w:sz w:val="16"/>
                <w:szCs w:val="16"/>
              </w:rPr>
              <w:t>n, and reproduction in any medium, provided you give appropriate credit to the original author(s) and the source, provide a link to the Creative Commons license, and indicate if changes were made. The Creative Commons Public Domain Dedication waiver (http://creativecommons.org/publicdomain/zero/1.0/) applies to the data made available in this article, unless otherwise stated.</w:t>
            </w:r>
          </w:p>
        </w:tc>
        <w:tc>
          <w:tcPr>
            <w:tcW w:w="2126" w:type="dxa"/>
          </w:tcPr>
          <w:p w:rsidR="00043DD7" w:rsidRPr="001345A6" w:rsidRDefault="00043DD7" w:rsidP="00043DD7">
            <w:pPr>
              <w:rPr>
                <w:rFonts w:cstheme="minorHAnsi"/>
                <w:sz w:val="16"/>
                <w:szCs w:val="16"/>
              </w:rPr>
            </w:pPr>
            <w:r>
              <w:rPr>
                <w:rFonts w:cstheme="minorHAnsi"/>
                <w:sz w:val="16"/>
                <w:szCs w:val="16"/>
              </w:rPr>
              <w:t>No</w:t>
            </w:r>
            <w:r>
              <w:rPr>
                <w:rFonts w:cstheme="minorHAnsi"/>
                <w:sz w:val="16"/>
                <w:szCs w:val="16"/>
              </w:rPr>
              <w:t>, t</w:t>
            </w:r>
            <w:r w:rsidRPr="00043DD7">
              <w:rPr>
                <w:rFonts w:cstheme="minorHAnsi"/>
                <w:sz w:val="16"/>
                <w:szCs w:val="16"/>
              </w:rPr>
              <w:t>his article is distributed under the terms of the Creative Commons Attribution 4.0 International License (http://creativecommons.org/licenses/by/4.0/), which permits unrestricted use, distribution, and reproduction in any medium, provided you give appropriate credit to the original author(s) and the source, provide a link to the Creative Commons license, and indicate if changes were made. The Creative Commons Public Domain Dedication waiver (http://creativecommons.org/publicdomain/zero/1.0/) applies to the data made available in this article, unless otherwise stated.</w:t>
            </w:r>
          </w:p>
        </w:tc>
        <w:tc>
          <w:tcPr>
            <w:tcW w:w="2268" w:type="dxa"/>
          </w:tcPr>
          <w:p w:rsidR="00043DD7" w:rsidRPr="001345A6" w:rsidRDefault="00043DD7" w:rsidP="00043DD7">
            <w:pPr>
              <w:rPr>
                <w:rFonts w:cstheme="minorHAnsi"/>
                <w:sz w:val="16"/>
                <w:szCs w:val="16"/>
              </w:rPr>
            </w:pPr>
            <w:r>
              <w:rPr>
                <w:rFonts w:cstheme="minorHAnsi"/>
                <w:sz w:val="16"/>
                <w:szCs w:val="16"/>
              </w:rPr>
              <w:t>Yes</w:t>
            </w:r>
          </w:p>
        </w:tc>
        <w:tc>
          <w:tcPr>
            <w:tcW w:w="1984" w:type="dxa"/>
          </w:tcPr>
          <w:p w:rsidR="00043DD7" w:rsidRPr="001345A6" w:rsidRDefault="00043DD7" w:rsidP="00043DD7">
            <w:pPr>
              <w:rPr>
                <w:rFonts w:cstheme="minorHAnsi"/>
                <w:sz w:val="16"/>
                <w:szCs w:val="16"/>
              </w:rPr>
            </w:pPr>
            <w:r>
              <w:rPr>
                <w:rFonts w:cstheme="minorHAnsi"/>
                <w:sz w:val="16"/>
                <w:szCs w:val="16"/>
              </w:rPr>
              <w:t>Nil</w:t>
            </w:r>
          </w:p>
        </w:tc>
      </w:tr>
    </w:tbl>
    <w:p w:rsidR="004C396D" w:rsidRDefault="004C396D" w:rsidP="00243B85"/>
    <w:sectPr w:rsidR="004C396D" w:rsidSect="00243B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zNbY0NTWwMDMzMDVW0lEKTi0uzszPAykwqgUAYBnHCCwAAAA="/>
  </w:docVars>
  <w:rsids>
    <w:rsidRoot w:val="009C34CB"/>
    <w:rsid w:val="00043DD7"/>
    <w:rsid w:val="001345A6"/>
    <w:rsid w:val="00196D32"/>
    <w:rsid w:val="00243B85"/>
    <w:rsid w:val="004C396D"/>
    <w:rsid w:val="007E4F3F"/>
    <w:rsid w:val="00872801"/>
    <w:rsid w:val="009520CA"/>
    <w:rsid w:val="009B4CAE"/>
    <w:rsid w:val="009C34CB"/>
    <w:rsid w:val="00A85BAC"/>
    <w:rsid w:val="00CD0943"/>
    <w:rsid w:val="00D618F1"/>
    <w:rsid w:val="00EC7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7B7D6-0E75-4A29-A02B-845FC666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20CA"/>
    <w:rPr>
      <w:color w:val="0563C1" w:themeColor="hyperlink"/>
      <w:u w:val="single"/>
    </w:rPr>
  </w:style>
  <w:style w:type="character" w:customStyle="1" w:styleId="UnresolvedMention">
    <w:name w:val="Unresolved Mention"/>
    <w:basedOn w:val="DefaultParagraphFont"/>
    <w:uiPriority w:val="99"/>
    <w:semiHidden/>
    <w:unhideWhenUsed/>
    <w:rsid w:val="0095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20101058188128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dpi.com/2072-6643/10/1/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ciencedirect.com/science/article/abs/pii/S2405457716302649" TargetMode="External"/><Relationship Id="rId11" Type="http://schemas.openxmlformats.org/officeDocument/2006/relationships/hyperlink" Target="https://ccforum.biomedcentral.com/articles/10.1186/s13054-019-2500-z" TargetMode="External"/><Relationship Id="rId5" Type="http://schemas.openxmlformats.org/officeDocument/2006/relationships/hyperlink" Target="https://onlinelibrary.wiley.com/doi/abs/10.1177/0148607115625638" TargetMode="External"/><Relationship Id="rId10" Type="http://schemas.openxmlformats.org/officeDocument/2006/relationships/hyperlink" Target="https://annalsofintensivecare.springeropen.com/articles/10.1186/s13613-018-0443-1" TargetMode="External"/><Relationship Id="rId4" Type="http://schemas.openxmlformats.org/officeDocument/2006/relationships/webSettings" Target="webSettings.xml"/><Relationship Id="rId9" Type="http://schemas.openxmlformats.org/officeDocument/2006/relationships/hyperlink" Target="https://onlinelibrary.wiley.com/doi/abs/10.1177/0148607117726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C3C91-E77C-4FF7-B921-7079EDB2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Hawkins</dc:creator>
  <cp:lastModifiedBy>Charles Lew</cp:lastModifiedBy>
  <cp:revision>8</cp:revision>
  <dcterms:created xsi:type="dcterms:W3CDTF">2019-07-15T08:59:00Z</dcterms:created>
  <dcterms:modified xsi:type="dcterms:W3CDTF">2019-07-15T12:53:00Z</dcterms:modified>
</cp:coreProperties>
</file>